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highlight w:val="white"/>
        </w:rPr>
      </w:pPr>
      <w:r w:rsidDel="00000000" w:rsidR="00000000" w:rsidRPr="00000000">
        <w:rPr>
          <w:rFonts w:ascii="Times New Roman" w:cs="Times New Roman" w:eastAsia="Times New Roman" w:hAnsi="Times New Roman"/>
          <w:b w:val="1"/>
          <w:highlight w:val="white"/>
          <w:rtl w:val="0"/>
        </w:rPr>
        <w:t xml:space="preserve">October 4,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2"/>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Discussion/Action to </w:t>
      </w:r>
      <w:r w:rsidDel="00000000" w:rsidR="00000000" w:rsidRPr="00000000">
        <w:rPr>
          <w:rFonts w:ascii="Times New Roman" w:cs="Times New Roman" w:eastAsia="Times New Roman" w:hAnsi="Times New Roman"/>
          <w:rtl w:val="0"/>
        </w:rPr>
        <w:t xml:space="preserve">NTE $100.00 for a cafeteria microwave. </w:t>
      </w:r>
    </w:p>
    <w:p w:rsidR="00000000" w:rsidDel="00000000" w:rsidP="00000000" w:rsidRDefault="00000000" w:rsidRPr="00000000" w14:paraId="0000004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“The Great Shakeout” and “Coffee with a cop” Lead by Fernando Sánchez</w:t>
      </w:r>
    </w:p>
    <w:p w:rsidR="00000000" w:rsidDel="00000000" w:rsidP="00000000" w:rsidRDefault="00000000" w:rsidRPr="00000000" w14:paraId="0000004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to approve the Halloween Costume contest as an event hosted by ASCOM</w:t>
      </w:r>
    </w:p>
    <w:p w:rsidR="00000000" w:rsidDel="00000000" w:rsidP="00000000" w:rsidRDefault="00000000" w:rsidRPr="00000000" w14:paraId="0000004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Discussion/Action for delegating roles and responsibilities for the Halloween Costume Contest, presentation by Kai &amp; Hellen. </w:t>
      </w:r>
    </w:p>
    <w:p w:rsidR="00000000" w:rsidDel="00000000" w:rsidP="00000000" w:rsidRDefault="00000000" w:rsidRPr="00000000" w14:paraId="0000004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debrief on Kentfield &amp; Indian Valley Campus’ Spooky Spicy Fall events. </w:t>
      </w:r>
      <w:r w:rsidDel="00000000" w:rsidR="00000000" w:rsidRPr="00000000">
        <w:rPr>
          <w:rtl w:val="0"/>
        </w:rPr>
      </w:r>
    </w:p>
    <w:p w:rsidR="00000000" w:rsidDel="00000000" w:rsidP="00000000" w:rsidRDefault="00000000" w:rsidRPr="00000000" w14:paraId="00000050">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51">
      <w:pPr>
        <w:numPr>
          <w:ilvl w:val="0"/>
          <w:numId w:val="3"/>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2">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5">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6">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7">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8">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9">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w:t>
      </w:r>
    </w:p>
    <w:p w:rsidR="00000000" w:rsidDel="00000000" w:rsidP="00000000" w:rsidRDefault="00000000" w:rsidRPr="00000000" w14:paraId="0000005A">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B">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C">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D">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E">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5F">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61">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2">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3">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4">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5">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6">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7">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8">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9">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w:t>
      </w:r>
    </w:p>
    <w:p w:rsidR="00000000" w:rsidDel="00000000" w:rsidP="00000000" w:rsidRDefault="00000000" w:rsidRPr="00000000" w14:paraId="0000006A">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EQUALITY, AND ACTION COMMITTEE: </w:t>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7"/>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D">
      <w:pPr>
        <w:numPr>
          <w:ilvl w:val="1"/>
          <w:numId w:val="1"/>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71">
      <w:pPr>
        <w:numPr>
          <w:ilvl w:val="1"/>
          <w:numId w:val="5"/>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2">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4">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160" w:line="240" w:lineRule="auto"/>
        <w:ind w:left="630"/>
        <w:rPr>
          <w:rFonts w:ascii="Times New Roman" w:cs="Times New Roman" w:eastAsia="Times New Roman" w:hAnsi="Times New Roman"/>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2">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4">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5">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7">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8">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9">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10">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